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lang w:val="ro-RO"/>
        </w:rPr>
        <w:id w:val="-9829514"/>
        <w:docPartObj>
          <w:docPartGallery w:val="Table of Contents"/>
          <w:docPartUnique/>
        </w:docPartObj>
      </w:sdtPr>
      <w:sdtEndPr>
        <w:rPr>
          <w:b/>
          <w:bCs/>
          <w:noProof/>
          <w:lang w:val="en-GB"/>
        </w:rPr>
      </w:sdtEndPr>
      <w:sdtContent>
        <w:p w:rsidR="00ED5893" w:rsidRDefault="00ED5893">
          <w:pPr>
            <w:pStyle w:val="TOCHeading"/>
            <w:rPr>
              <w:rFonts w:asciiTheme="minorHAnsi" w:eastAsiaTheme="minorHAnsi" w:hAnsiTheme="minorHAnsi" w:cstheme="minorBidi"/>
              <w:color w:val="auto"/>
              <w:sz w:val="22"/>
              <w:szCs w:val="22"/>
              <w:lang w:val="ro-RO"/>
            </w:rPr>
          </w:pPr>
        </w:p>
        <w:p w:rsidR="00ED5893" w:rsidRDefault="00ED5893">
          <w:pPr>
            <w:pStyle w:val="TOCHeading"/>
            <w:rPr>
              <w:rFonts w:asciiTheme="minorHAnsi" w:eastAsiaTheme="minorHAnsi" w:hAnsiTheme="minorHAnsi" w:cstheme="minorBidi"/>
              <w:color w:val="auto"/>
              <w:sz w:val="22"/>
              <w:szCs w:val="22"/>
              <w:lang w:val="ro-RO"/>
            </w:rPr>
          </w:pPr>
        </w:p>
        <w:p w:rsidR="00ED5893" w:rsidRDefault="00ED5893">
          <w:pPr>
            <w:pStyle w:val="TOCHeading"/>
            <w:rPr>
              <w:rFonts w:asciiTheme="minorHAnsi" w:eastAsiaTheme="minorHAnsi" w:hAnsiTheme="minorHAnsi" w:cstheme="minorBidi"/>
              <w:color w:val="auto"/>
              <w:sz w:val="22"/>
              <w:szCs w:val="22"/>
              <w:lang w:val="ro-RO"/>
            </w:rPr>
          </w:pPr>
        </w:p>
        <w:p w:rsidR="00ED5893" w:rsidRDefault="00ED5893">
          <w:pPr>
            <w:pStyle w:val="TOCHeading"/>
            <w:rPr>
              <w:rFonts w:asciiTheme="minorHAnsi" w:eastAsiaTheme="minorHAnsi" w:hAnsiTheme="minorHAnsi" w:cstheme="minorBidi"/>
              <w:color w:val="auto"/>
              <w:sz w:val="22"/>
              <w:szCs w:val="22"/>
              <w:lang w:val="ro-RO"/>
            </w:rPr>
          </w:pPr>
        </w:p>
        <w:p w:rsidR="00ED5893" w:rsidRDefault="00ED5893">
          <w:pPr>
            <w:pStyle w:val="TOCHeading"/>
            <w:rPr>
              <w:rFonts w:asciiTheme="minorHAnsi" w:eastAsiaTheme="minorHAnsi" w:hAnsiTheme="minorHAnsi" w:cstheme="minorBidi"/>
              <w:color w:val="auto"/>
              <w:sz w:val="22"/>
              <w:szCs w:val="22"/>
              <w:lang w:val="ro-RO"/>
            </w:rPr>
          </w:pPr>
        </w:p>
        <w:p w:rsidR="00A32218" w:rsidRPr="00A32218" w:rsidRDefault="00241D3C">
          <w:pPr>
            <w:pStyle w:val="TOCHeading"/>
            <w:rPr>
              <w:lang w:val="ro-RO"/>
            </w:rPr>
          </w:pPr>
          <w:r>
            <w:rPr>
              <w:lang w:val="ro-RO"/>
            </w:rPr>
            <w:t>Cuprins</w:t>
          </w:r>
        </w:p>
        <w:p w:rsidR="00B2492D" w:rsidRDefault="00A32218">
          <w:pPr>
            <w:pStyle w:val="TOC1"/>
            <w:tabs>
              <w:tab w:val="left" w:pos="440"/>
              <w:tab w:val="right" w:leader="dot" w:pos="9016"/>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42621816" w:history="1">
            <w:r w:rsidR="00B2492D" w:rsidRPr="00604A9E">
              <w:rPr>
                <w:rStyle w:val="Hyperlink"/>
                <w:noProof/>
                <w:lang w:val="ro-RO"/>
              </w:rPr>
              <w:t>1.</w:t>
            </w:r>
            <w:r w:rsidR="00B2492D">
              <w:rPr>
                <w:rFonts w:eastAsiaTheme="minorEastAsia"/>
                <w:noProof/>
                <w:lang w:eastAsia="en-GB"/>
              </w:rPr>
              <w:tab/>
            </w:r>
            <w:r w:rsidR="00B2492D" w:rsidRPr="00604A9E">
              <w:rPr>
                <w:rStyle w:val="Hyperlink"/>
                <w:noProof/>
                <w:lang w:val="ro-RO"/>
              </w:rPr>
              <w:t>Context/ Introducere</w:t>
            </w:r>
            <w:r w:rsidR="00B2492D">
              <w:rPr>
                <w:noProof/>
                <w:webHidden/>
              </w:rPr>
              <w:tab/>
            </w:r>
            <w:r w:rsidR="00B2492D">
              <w:rPr>
                <w:noProof/>
                <w:webHidden/>
              </w:rPr>
              <w:fldChar w:fldCharType="begin"/>
            </w:r>
            <w:r w:rsidR="00B2492D">
              <w:rPr>
                <w:noProof/>
                <w:webHidden/>
              </w:rPr>
              <w:instrText xml:space="preserve"> PAGEREF _Toc42621816 \h </w:instrText>
            </w:r>
            <w:r w:rsidR="00B2492D">
              <w:rPr>
                <w:noProof/>
                <w:webHidden/>
              </w:rPr>
            </w:r>
            <w:r w:rsidR="00B2492D">
              <w:rPr>
                <w:noProof/>
                <w:webHidden/>
              </w:rPr>
              <w:fldChar w:fldCharType="separate"/>
            </w:r>
            <w:r w:rsidR="00B2492D">
              <w:rPr>
                <w:noProof/>
                <w:webHidden/>
              </w:rPr>
              <w:t>3</w:t>
            </w:r>
            <w:r w:rsidR="00B2492D">
              <w:rPr>
                <w:noProof/>
                <w:webHidden/>
              </w:rPr>
              <w:fldChar w:fldCharType="end"/>
            </w:r>
          </w:hyperlink>
        </w:p>
        <w:p w:rsidR="00B2492D" w:rsidRDefault="00224555">
          <w:pPr>
            <w:pStyle w:val="TOC1"/>
            <w:tabs>
              <w:tab w:val="left" w:pos="440"/>
              <w:tab w:val="right" w:leader="dot" w:pos="9016"/>
            </w:tabs>
            <w:rPr>
              <w:rFonts w:eastAsiaTheme="minorEastAsia"/>
              <w:noProof/>
              <w:lang w:eastAsia="en-GB"/>
            </w:rPr>
          </w:pPr>
          <w:hyperlink w:anchor="_Toc42621817" w:history="1">
            <w:r w:rsidR="00B2492D" w:rsidRPr="00604A9E">
              <w:rPr>
                <w:rStyle w:val="Hyperlink"/>
                <w:noProof/>
                <w:lang w:val="ro-RO"/>
              </w:rPr>
              <w:t>2.</w:t>
            </w:r>
            <w:r w:rsidR="00B2492D">
              <w:rPr>
                <w:rFonts w:eastAsiaTheme="minorEastAsia"/>
                <w:noProof/>
                <w:lang w:eastAsia="en-GB"/>
              </w:rPr>
              <w:tab/>
            </w:r>
            <w:r w:rsidR="00B2492D" w:rsidRPr="00604A9E">
              <w:rPr>
                <w:rStyle w:val="Hyperlink"/>
                <w:noProof/>
                <w:lang w:val="ro-RO"/>
              </w:rPr>
              <w:t>Modul de calcul – aspecte generale</w:t>
            </w:r>
            <w:r w:rsidR="00B2492D">
              <w:rPr>
                <w:noProof/>
                <w:webHidden/>
              </w:rPr>
              <w:tab/>
            </w:r>
            <w:r w:rsidR="00B2492D">
              <w:rPr>
                <w:noProof/>
                <w:webHidden/>
              </w:rPr>
              <w:fldChar w:fldCharType="begin"/>
            </w:r>
            <w:r w:rsidR="00B2492D">
              <w:rPr>
                <w:noProof/>
                <w:webHidden/>
              </w:rPr>
              <w:instrText xml:space="preserve"> PAGEREF _Toc42621817 \h </w:instrText>
            </w:r>
            <w:r w:rsidR="00B2492D">
              <w:rPr>
                <w:noProof/>
                <w:webHidden/>
              </w:rPr>
            </w:r>
            <w:r w:rsidR="00B2492D">
              <w:rPr>
                <w:noProof/>
                <w:webHidden/>
              </w:rPr>
              <w:fldChar w:fldCharType="separate"/>
            </w:r>
            <w:r w:rsidR="00B2492D">
              <w:rPr>
                <w:noProof/>
                <w:webHidden/>
              </w:rPr>
              <w:t>3</w:t>
            </w:r>
            <w:r w:rsidR="00B2492D">
              <w:rPr>
                <w:noProof/>
                <w:webHidden/>
              </w:rPr>
              <w:fldChar w:fldCharType="end"/>
            </w:r>
          </w:hyperlink>
        </w:p>
        <w:p w:rsidR="00B2492D" w:rsidRDefault="00224555">
          <w:pPr>
            <w:pStyle w:val="TOC1"/>
            <w:tabs>
              <w:tab w:val="left" w:pos="440"/>
              <w:tab w:val="right" w:leader="dot" w:pos="9016"/>
            </w:tabs>
            <w:rPr>
              <w:rFonts w:eastAsiaTheme="minorEastAsia"/>
              <w:noProof/>
              <w:lang w:eastAsia="en-GB"/>
            </w:rPr>
          </w:pPr>
          <w:hyperlink w:anchor="_Toc42621818" w:history="1">
            <w:r w:rsidR="00B2492D" w:rsidRPr="00604A9E">
              <w:rPr>
                <w:rStyle w:val="Hyperlink"/>
                <w:noProof/>
                <w:lang w:val="ro-RO"/>
              </w:rPr>
              <w:t>3.</w:t>
            </w:r>
            <w:r w:rsidR="00B2492D">
              <w:rPr>
                <w:rFonts w:eastAsiaTheme="minorEastAsia"/>
                <w:noProof/>
                <w:lang w:eastAsia="en-GB"/>
              </w:rPr>
              <w:tab/>
            </w:r>
            <w:r w:rsidR="00B2492D" w:rsidRPr="00604A9E">
              <w:rPr>
                <w:rStyle w:val="Hyperlink"/>
                <w:noProof/>
                <w:lang w:val="ro-RO"/>
              </w:rPr>
              <w:t>Instrucțiuni de completare</w:t>
            </w:r>
            <w:r w:rsidR="00B2492D">
              <w:rPr>
                <w:noProof/>
                <w:webHidden/>
              </w:rPr>
              <w:tab/>
            </w:r>
            <w:r w:rsidR="00B2492D">
              <w:rPr>
                <w:noProof/>
                <w:webHidden/>
              </w:rPr>
              <w:fldChar w:fldCharType="begin"/>
            </w:r>
            <w:r w:rsidR="00B2492D">
              <w:rPr>
                <w:noProof/>
                <w:webHidden/>
              </w:rPr>
              <w:instrText xml:space="preserve"> PAGEREF _Toc42621818 \h </w:instrText>
            </w:r>
            <w:r w:rsidR="00B2492D">
              <w:rPr>
                <w:noProof/>
                <w:webHidden/>
              </w:rPr>
            </w:r>
            <w:r w:rsidR="00B2492D">
              <w:rPr>
                <w:noProof/>
                <w:webHidden/>
              </w:rPr>
              <w:fldChar w:fldCharType="separate"/>
            </w:r>
            <w:r w:rsidR="00B2492D">
              <w:rPr>
                <w:noProof/>
                <w:webHidden/>
              </w:rPr>
              <w:t>4</w:t>
            </w:r>
            <w:r w:rsidR="00B2492D">
              <w:rPr>
                <w:noProof/>
                <w:webHidden/>
              </w:rPr>
              <w:fldChar w:fldCharType="end"/>
            </w:r>
          </w:hyperlink>
        </w:p>
        <w:p w:rsidR="00A32218" w:rsidRDefault="00A32218">
          <w:r>
            <w:rPr>
              <w:b/>
              <w:bCs/>
              <w:noProof/>
            </w:rPr>
            <w:fldChar w:fldCharType="end"/>
          </w:r>
        </w:p>
      </w:sdtContent>
    </w:sdt>
    <w:p w:rsidR="009C0B5D" w:rsidRDefault="009C0B5D" w:rsidP="00F14BFD">
      <w:pPr>
        <w:spacing w:after="0" w:line="240" w:lineRule="auto"/>
        <w:jc w:val="both"/>
        <w:rPr>
          <w:lang w:val="ro-RO"/>
        </w:rPr>
        <w:sectPr w:rsidR="009C0B5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rsidR="00245523" w:rsidRDefault="009C0B5D" w:rsidP="009C0B5D">
      <w:pPr>
        <w:pStyle w:val="Heading1"/>
        <w:numPr>
          <w:ilvl w:val="0"/>
          <w:numId w:val="4"/>
        </w:numPr>
        <w:rPr>
          <w:lang w:val="ro-RO"/>
        </w:rPr>
      </w:pPr>
      <w:bookmarkStart w:id="1" w:name="_Toc42621816"/>
      <w:r>
        <w:rPr>
          <w:lang w:val="ro-RO"/>
        </w:rPr>
        <w:lastRenderedPageBreak/>
        <w:t>Context/ Introduc</w:t>
      </w:r>
      <w:r w:rsidR="004A6231">
        <w:rPr>
          <w:lang w:val="ro-RO"/>
        </w:rPr>
        <w:t>ere</w:t>
      </w:r>
      <w:bookmarkEnd w:id="1"/>
    </w:p>
    <w:p w:rsidR="00FE5918" w:rsidRDefault="001617F9" w:rsidP="00B43815">
      <w:pPr>
        <w:jc w:val="both"/>
        <w:rPr>
          <w:lang w:val="ro-RO"/>
        </w:rPr>
      </w:pPr>
      <w:r>
        <w:rPr>
          <w:lang w:val="ro-RO"/>
        </w:rPr>
        <w:t>Prezentul document are ca scop prezentarea metodei de calcul al intensității ajutorului de stat pentru schema de ajutor de stat</w:t>
      </w:r>
      <w:r w:rsidR="00D77BB1">
        <w:rPr>
          <w:lang w:val="ro-RO"/>
        </w:rPr>
        <w:t xml:space="preserve"> </w:t>
      </w:r>
      <w:r w:rsidR="00D77BB1" w:rsidRPr="00D77BB1">
        <w:rPr>
          <w:lang w:val="ro-RO"/>
        </w:rPr>
        <w:t>privind sprijinirea investițiilor destinate promovării producției și distribuției de energie termică în sistem centralizat, din surse regenerabile mai puțin exploatate, respectiv biomasă, biogaz, energie geotermală</w:t>
      </w:r>
      <w:r w:rsidR="00D77BB1">
        <w:rPr>
          <w:lang w:val="ro-RO"/>
        </w:rPr>
        <w:t>, în cadrul Axei</w:t>
      </w:r>
      <w:r w:rsidR="001D0E57">
        <w:rPr>
          <w:lang w:val="ro-RO"/>
        </w:rPr>
        <w:t xml:space="preserve"> prioritare</w:t>
      </w:r>
      <w:r w:rsidR="00D77BB1">
        <w:rPr>
          <w:lang w:val="ro-RO"/>
        </w:rPr>
        <w:t xml:space="preserve"> 6 din POIM.</w:t>
      </w:r>
    </w:p>
    <w:p w:rsidR="00D77BB1" w:rsidRDefault="00571040" w:rsidP="00B43815">
      <w:pPr>
        <w:jc w:val="both"/>
        <w:rPr>
          <w:lang w:val="en-US"/>
        </w:rPr>
      </w:pPr>
      <w:r w:rsidRPr="00571040">
        <w:rPr>
          <w:lang w:val="ro-RO"/>
        </w:rPr>
        <w:t xml:space="preserve">În conformitate cu prevederile documentului Comisiei Europene </w:t>
      </w:r>
      <w:r w:rsidRPr="00571040">
        <w:rPr>
          <w:i/>
          <w:lang w:val="ro-RO"/>
        </w:rPr>
        <w:t>Orientările privind ajutoarele de stat pentru protecția mediului și energie pentru perioada 2014-2020</w:t>
      </w:r>
      <w:r w:rsidRPr="00571040">
        <w:rPr>
          <w:lang w:val="ro-RO"/>
        </w:rPr>
        <w:t xml:space="preserve">, metoda necesarului de finanțare </w:t>
      </w:r>
      <w:r w:rsidR="00B8148D">
        <w:rPr>
          <w:lang w:val="ro-RO"/>
        </w:rPr>
        <w:t>este una acceptabilă pentru a dimensiona intensitatea ajutorului de stat.</w:t>
      </w:r>
    </w:p>
    <w:p w:rsidR="00DE17E5" w:rsidRDefault="00772DC5" w:rsidP="00B43815">
      <w:pPr>
        <w:jc w:val="both"/>
        <w:rPr>
          <w:lang w:val="ro-RO"/>
        </w:rPr>
      </w:pPr>
      <w:r>
        <w:rPr>
          <w:lang w:val="ro-RO"/>
        </w:rPr>
        <w:t xml:space="preserve">Conform </w:t>
      </w:r>
      <w:r w:rsidR="00DE17E5" w:rsidRPr="00724302">
        <w:rPr>
          <w:lang w:val="ro-RO"/>
        </w:rPr>
        <w:t>Orient</w:t>
      </w:r>
      <w:r>
        <w:rPr>
          <w:lang w:val="ro-RO"/>
        </w:rPr>
        <w:t>ărilor</w:t>
      </w:r>
      <w:r w:rsidR="00724302">
        <w:rPr>
          <w:lang w:val="ro-RO"/>
        </w:rPr>
        <w:t>:</w:t>
      </w:r>
    </w:p>
    <w:p w:rsidR="00571040" w:rsidRDefault="00724302" w:rsidP="00724302">
      <w:pPr>
        <w:pStyle w:val="ListParagraph"/>
        <w:numPr>
          <w:ilvl w:val="0"/>
          <w:numId w:val="7"/>
        </w:numPr>
        <w:jc w:val="both"/>
        <w:rPr>
          <w:lang w:val="ro-RO"/>
        </w:rPr>
      </w:pPr>
      <w:r>
        <w:rPr>
          <w:lang w:val="ro-RO"/>
        </w:rPr>
        <w:t xml:space="preserve">(19) (32) ”deficit de finanțare” înseamnă </w:t>
      </w:r>
      <w:r w:rsidR="00571040" w:rsidRPr="00724302">
        <w:rPr>
          <w:lang w:val="ro-RO"/>
        </w:rPr>
        <w:t>diferența dintre fluxurile de numerar pozitive și cele negative pe parcursul duratei de viață a investiției, actualizate la valoarea lor din prezent (în general utilizând costul capitalului</w:t>
      </w:r>
      <w:r>
        <w:rPr>
          <w:lang w:val="ro-RO"/>
        </w:rPr>
        <w:t>,</w:t>
      </w:r>
    </w:p>
    <w:p w:rsidR="00571040" w:rsidRPr="00724302" w:rsidRDefault="00724302" w:rsidP="00D70889">
      <w:pPr>
        <w:pStyle w:val="ListParagraph"/>
        <w:numPr>
          <w:ilvl w:val="0"/>
          <w:numId w:val="7"/>
        </w:numPr>
        <w:jc w:val="both"/>
        <w:rPr>
          <w:lang w:val="ro-RO"/>
        </w:rPr>
      </w:pPr>
      <w:r w:rsidRPr="00724302">
        <w:rPr>
          <w:lang w:val="ro-RO"/>
        </w:rPr>
        <w:t xml:space="preserve">(62) În absența unui scenariu contrafactual specific, se poate presupune că există un efect stimulativ atunci când există un </w:t>
      </w:r>
      <w:r w:rsidR="00571040" w:rsidRPr="00724302">
        <w:rPr>
          <w:lang w:val="ro-RO"/>
        </w:rPr>
        <w:t>deficit de finanțare, adică atunci când costurile de investiție depășesc VAN a profiturilor estimate din exploatare generate de investiție, pe baza unui plan de afaceri ex ante</w:t>
      </w:r>
      <w:r>
        <w:rPr>
          <w:lang w:val="ro-RO"/>
        </w:rPr>
        <w:t>.</w:t>
      </w:r>
    </w:p>
    <w:p w:rsidR="00817918" w:rsidRDefault="00724302" w:rsidP="00571040">
      <w:pPr>
        <w:pStyle w:val="Heading1"/>
        <w:numPr>
          <w:ilvl w:val="0"/>
          <w:numId w:val="4"/>
        </w:numPr>
        <w:rPr>
          <w:lang w:val="ro-RO"/>
        </w:rPr>
      </w:pPr>
      <w:bookmarkStart w:id="2" w:name="_Toc42621817"/>
      <w:r>
        <w:rPr>
          <w:lang w:val="ro-RO"/>
        </w:rPr>
        <w:t>Modul de calcul</w:t>
      </w:r>
      <w:r w:rsidR="00152420">
        <w:rPr>
          <w:lang w:val="ro-RO"/>
        </w:rPr>
        <w:t xml:space="preserve"> – aspecte generale</w:t>
      </w:r>
      <w:bookmarkEnd w:id="2"/>
    </w:p>
    <w:p w:rsidR="00571040" w:rsidRDefault="00724302" w:rsidP="00B43815">
      <w:pPr>
        <w:jc w:val="both"/>
        <w:rPr>
          <w:lang w:val="ro-RO"/>
        </w:rPr>
      </w:pPr>
      <w:r>
        <w:rPr>
          <w:lang w:val="ro-RO"/>
        </w:rPr>
        <w:t xml:space="preserve">Din prevederile paragrafului 62, </w:t>
      </w:r>
      <w:r w:rsidR="00120214">
        <w:rPr>
          <w:lang w:val="ro-RO"/>
        </w:rPr>
        <w:t>rezultă că</w:t>
      </w:r>
      <w:r>
        <w:rPr>
          <w:lang w:val="ro-RO"/>
        </w:rPr>
        <w:t xml:space="preserve"> deficitul de finanțare se referă la e</w:t>
      </w:r>
      <w:r w:rsidR="00152420">
        <w:rPr>
          <w:lang w:val="ro-RO"/>
        </w:rPr>
        <w:t>c</w:t>
      </w:r>
      <w:r>
        <w:rPr>
          <w:lang w:val="ro-RO"/>
        </w:rPr>
        <w:t>hilibrul dintre costurile de investiție și profiturile de exploatare (diferența dintre veniturile și cheltuielile de exploatare și întreținere) generate de investiție. Astfel, se ia în considerare efectul investiției (nu și situația generală a beneficiarului). În acest sens, metoda de calcul este una incrementală, în care se compara situația cu proiect și situația fără proiect pentru a determina efectul net al proiectului.</w:t>
      </w:r>
    </w:p>
    <w:p w:rsidR="0039100D" w:rsidRDefault="00FF42F1" w:rsidP="00B43815">
      <w:pPr>
        <w:jc w:val="both"/>
        <w:rPr>
          <w:lang w:val="ro-RO"/>
        </w:rPr>
      </w:pPr>
      <w:r>
        <w:rPr>
          <w:lang w:val="ro-RO"/>
        </w:rPr>
        <w:t>Conform prevederilor</w:t>
      </w:r>
      <w:r w:rsidR="0039100D">
        <w:rPr>
          <w:lang w:val="ro-RO"/>
        </w:rPr>
        <w:t xml:space="preserve"> paragrafului 19,:</w:t>
      </w:r>
    </w:p>
    <w:p w:rsidR="0039100D" w:rsidRDefault="0039100D" w:rsidP="0039100D">
      <w:pPr>
        <w:pStyle w:val="ListParagraph"/>
        <w:numPr>
          <w:ilvl w:val="0"/>
          <w:numId w:val="7"/>
        </w:numPr>
        <w:jc w:val="both"/>
        <w:rPr>
          <w:lang w:val="ro-RO"/>
        </w:rPr>
      </w:pPr>
      <w:r>
        <w:rPr>
          <w:lang w:val="ro-RO"/>
        </w:rPr>
        <w:t>Calculul se face pe toată durata de viață a investiției. În acest sens, este diferit de metoda descrisă în Ghidul Comisiei privind analiza cost-beneficiu pentru perioada 2014-2020, care se oprește la un anumit orizont, prestabilit, de timp, diferența dintre durata de viață și acel orizont fiind integrată în valoarea reziduală.</w:t>
      </w:r>
    </w:p>
    <w:p w:rsidR="00FF42F1" w:rsidRDefault="0039100D" w:rsidP="00FF42F1">
      <w:pPr>
        <w:pStyle w:val="ListParagraph"/>
        <w:numPr>
          <w:ilvl w:val="0"/>
          <w:numId w:val="7"/>
        </w:numPr>
        <w:jc w:val="both"/>
        <w:rPr>
          <w:lang w:val="ro-RO"/>
        </w:rPr>
      </w:pPr>
      <w:r>
        <w:rPr>
          <w:lang w:val="ro-RO"/>
        </w:rPr>
        <w:t>Rata de actualizare trebuie să reprezinte costul capitalului. În acest sens, recomanda</w:t>
      </w:r>
      <w:r w:rsidR="00FF42F1">
        <w:rPr>
          <w:lang w:val="ro-RO"/>
        </w:rPr>
        <w:t>rea</w:t>
      </w:r>
      <w:r>
        <w:rPr>
          <w:lang w:val="ro-RO"/>
        </w:rPr>
        <w:t xml:space="preserve"> </w:t>
      </w:r>
      <w:r w:rsidR="00FF42F1">
        <w:rPr>
          <w:lang w:val="ro-RO"/>
        </w:rPr>
        <w:t xml:space="preserve">Comisiei </w:t>
      </w:r>
      <w:proofErr w:type="spellStart"/>
      <w:r w:rsidR="00FF42F1">
        <w:rPr>
          <w:lang w:val="ro-RO"/>
        </w:rPr>
        <w:t>Europeane</w:t>
      </w:r>
      <w:proofErr w:type="spellEnd"/>
      <w:r>
        <w:rPr>
          <w:lang w:val="ro-RO"/>
        </w:rPr>
        <w:t xml:space="preserve"> prin Regulamentul 480/2014, valabilă pentru State Membre UE, </w:t>
      </w:r>
      <w:r w:rsidR="00FF42F1">
        <w:rPr>
          <w:lang w:val="ro-RO"/>
        </w:rPr>
        <w:t xml:space="preserve">este de </w:t>
      </w:r>
      <w:r>
        <w:rPr>
          <w:lang w:val="ro-RO"/>
        </w:rPr>
        <w:t>4% în termeni reali.</w:t>
      </w:r>
      <w:r w:rsidR="00FB32B4">
        <w:rPr>
          <w:lang w:val="ro-RO"/>
        </w:rPr>
        <w:t xml:space="preserve"> </w:t>
      </w:r>
    </w:p>
    <w:p w:rsidR="003E408F" w:rsidRPr="00FF42F1" w:rsidRDefault="00CF15CB" w:rsidP="00FF42F1">
      <w:pPr>
        <w:ind w:left="360"/>
        <w:jc w:val="both"/>
        <w:rPr>
          <w:lang w:val="ro-RO"/>
        </w:rPr>
      </w:pPr>
      <w:r w:rsidRPr="00FF42F1">
        <w:rPr>
          <w:lang w:val="ro-RO"/>
        </w:rPr>
        <w:t>M</w:t>
      </w:r>
      <w:r w:rsidR="00152420" w:rsidRPr="00FF42F1">
        <w:rPr>
          <w:lang w:val="ro-RO"/>
        </w:rPr>
        <w:t xml:space="preserve">etoda </w:t>
      </w:r>
      <w:r w:rsidR="003E408F" w:rsidRPr="00FF42F1">
        <w:rPr>
          <w:lang w:val="ro-RO"/>
        </w:rPr>
        <w:t>este bazată pe următoarele:</w:t>
      </w:r>
    </w:p>
    <w:p w:rsidR="003E408F" w:rsidRDefault="003E408F" w:rsidP="003E408F">
      <w:pPr>
        <w:pStyle w:val="ListParagraph"/>
        <w:numPr>
          <w:ilvl w:val="0"/>
          <w:numId w:val="7"/>
        </w:numPr>
        <w:jc w:val="both"/>
        <w:rPr>
          <w:lang w:val="ro-RO"/>
        </w:rPr>
      </w:pPr>
      <w:r>
        <w:rPr>
          <w:lang w:val="ro-RO"/>
        </w:rPr>
        <w:t>Abordare incrementală,</w:t>
      </w:r>
    </w:p>
    <w:p w:rsidR="003E408F" w:rsidRDefault="003E408F" w:rsidP="003E408F">
      <w:pPr>
        <w:pStyle w:val="ListParagraph"/>
        <w:numPr>
          <w:ilvl w:val="0"/>
          <w:numId w:val="7"/>
        </w:numPr>
        <w:jc w:val="both"/>
        <w:rPr>
          <w:lang w:val="ro-RO"/>
        </w:rPr>
      </w:pPr>
      <w:r>
        <w:rPr>
          <w:lang w:val="ro-RO"/>
        </w:rPr>
        <w:t>Toate prețurile în termeni reali (adică fără vreo previziune de inflație),</w:t>
      </w:r>
    </w:p>
    <w:p w:rsidR="003E408F" w:rsidRDefault="003E408F" w:rsidP="003E408F">
      <w:pPr>
        <w:pStyle w:val="ListParagraph"/>
        <w:numPr>
          <w:ilvl w:val="0"/>
          <w:numId w:val="7"/>
        </w:numPr>
        <w:jc w:val="both"/>
        <w:rPr>
          <w:lang w:val="ro-RO"/>
        </w:rPr>
      </w:pPr>
      <w:r>
        <w:rPr>
          <w:lang w:val="ro-RO"/>
        </w:rPr>
        <w:t>Rata de actualizare 4%,</w:t>
      </w:r>
    </w:p>
    <w:p w:rsidR="003E408F" w:rsidRDefault="003E408F" w:rsidP="003E408F">
      <w:pPr>
        <w:pStyle w:val="ListParagraph"/>
        <w:numPr>
          <w:ilvl w:val="0"/>
          <w:numId w:val="7"/>
        </w:numPr>
        <w:jc w:val="both"/>
        <w:rPr>
          <w:lang w:val="ro-RO"/>
        </w:rPr>
      </w:pPr>
      <w:r>
        <w:rPr>
          <w:lang w:val="ro-RO"/>
        </w:rPr>
        <w:t>Luarea în considerare a 3 tipuri de fluxuri financiare, respectiv cheltuieli de investiție, cheltuieli de exploatare și întreține și veniturile.</w:t>
      </w:r>
    </w:p>
    <w:p w:rsidR="003E408F" w:rsidRDefault="003E408F" w:rsidP="003E408F">
      <w:pPr>
        <w:pStyle w:val="ListParagraph"/>
        <w:numPr>
          <w:ilvl w:val="0"/>
          <w:numId w:val="7"/>
        </w:numPr>
        <w:jc w:val="both"/>
        <w:rPr>
          <w:lang w:val="ro-RO"/>
        </w:rPr>
      </w:pPr>
      <w:r>
        <w:rPr>
          <w:lang w:val="ro-RO"/>
        </w:rPr>
        <w:t>Calcul efectuat pe întreaga durată de viață a investiției (inclusiv durata de implementare a investiției),</w:t>
      </w:r>
    </w:p>
    <w:p w:rsidR="003E408F" w:rsidRPr="003E408F" w:rsidRDefault="003E408F" w:rsidP="003E408F">
      <w:pPr>
        <w:pStyle w:val="ListParagraph"/>
        <w:numPr>
          <w:ilvl w:val="0"/>
          <w:numId w:val="7"/>
        </w:numPr>
        <w:jc w:val="both"/>
        <w:rPr>
          <w:lang w:val="ro-RO"/>
        </w:rPr>
      </w:pPr>
      <w:r>
        <w:rPr>
          <w:lang w:val="ro-RO"/>
        </w:rPr>
        <w:t>Venitul net se aplică proporțional la cele două componente de costuri de investiție, respectiv costurile de natură eligibilă și costurile de natură neeligibilă (dar fără TVA).</w:t>
      </w:r>
    </w:p>
    <w:p w:rsidR="00724302" w:rsidRDefault="003E408F" w:rsidP="00B43815">
      <w:pPr>
        <w:jc w:val="both"/>
        <w:rPr>
          <w:lang w:val="ro-RO"/>
        </w:rPr>
      </w:pPr>
      <w:r>
        <w:rPr>
          <w:lang w:val="ro-RO"/>
        </w:rPr>
        <w:t>Calculul este realizat pe baza unui fișier Excel standard. Solicitantul:</w:t>
      </w:r>
    </w:p>
    <w:p w:rsidR="003E408F" w:rsidRDefault="003E408F" w:rsidP="003E408F">
      <w:pPr>
        <w:pStyle w:val="ListParagraph"/>
        <w:numPr>
          <w:ilvl w:val="0"/>
          <w:numId w:val="7"/>
        </w:numPr>
        <w:jc w:val="both"/>
        <w:rPr>
          <w:lang w:val="ro-RO"/>
        </w:rPr>
      </w:pPr>
      <w:r>
        <w:rPr>
          <w:lang w:val="ro-RO"/>
        </w:rPr>
        <w:lastRenderedPageBreak/>
        <w:t>Adaptează orizontul de timp în funcție de proiectul specific,</w:t>
      </w:r>
    </w:p>
    <w:p w:rsidR="003E408F" w:rsidRDefault="003E408F" w:rsidP="003E408F">
      <w:pPr>
        <w:pStyle w:val="ListParagraph"/>
        <w:numPr>
          <w:ilvl w:val="0"/>
          <w:numId w:val="7"/>
        </w:numPr>
        <w:jc w:val="both"/>
        <w:rPr>
          <w:lang w:val="ro-RO"/>
        </w:rPr>
      </w:pPr>
      <w:r>
        <w:rPr>
          <w:lang w:val="ro-RO"/>
        </w:rPr>
        <w:t>Introduce datele privind costurile și veniturile</w:t>
      </w:r>
      <w:r w:rsidR="00984F72">
        <w:rPr>
          <w:lang w:val="ro-RO"/>
        </w:rPr>
        <w:t xml:space="preserve"> care rezultă din analiza </w:t>
      </w:r>
      <w:r w:rsidR="00193F63" w:rsidRPr="00193F63">
        <w:rPr>
          <w:lang w:val="ro-RO"/>
        </w:rPr>
        <w:t xml:space="preserve">cost – beneficiu sau planul de afaceri, în celulele marcate în roșu (și doar în aceste </w:t>
      </w:r>
      <w:r w:rsidR="00193F63">
        <w:rPr>
          <w:lang w:val="ro-RO"/>
        </w:rPr>
        <w:t>cel</w:t>
      </w:r>
      <w:r w:rsidR="00193F63" w:rsidRPr="00193F63">
        <w:rPr>
          <w:lang w:val="ro-RO"/>
        </w:rPr>
        <w:t>ule).</w:t>
      </w:r>
    </w:p>
    <w:p w:rsidR="00BA5FBE" w:rsidRDefault="00BA5FBE" w:rsidP="00BA5FBE">
      <w:pPr>
        <w:jc w:val="both"/>
        <w:rPr>
          <w:lang w:val="ro-RO"/>
        </w:rPr>
      </w:pPr>
      <w:r>
        <w:rPr>
          <w:lang w:val="ro-RO"/>
        </w:rPr>
        <w:t>Fișierul calculează deficitul de finanțare și valoarea ajutorului de stat.</w:t>
      </w:r>
    </w:p>
    <w:p w:rsidR="00BA5FBE" w:rsidRDefault="00BA5FBE" w:rsidP="00BA5FBE">
      <w:pPr>
        <w:jc w:val="both"/>
        <w:rPr>
          <w:lang w:val="ro-RO"/>
        </w:rPr>
      </w:pPr>
      <w:r>
        <w:rPr>
          <w:lang w:val="ro-RO"/>
        </w:rPr>
        <w:t>În cazul în care venitul net din exploatare, actualizat, este mai mare sau egal cu costul de investiție, actualizat, deficitul de finanțare este zero și ajutorul de stat nu este necesar.</w:t>
      </w:r>
    </w:p>
    <w:p w:rsidR="00547375" w:rsidRPr="00D22030" w:rsidRDefault="00BA5FBE" w:rsidP="00BA5FBE">
      <w:pPr>
        <w:jc w:val="both"/>
        <w:rPr>
          <w:lang w:val="ro-RO"/>
        </w:rPr>
      </w:pPr>
      <w:r>
        <w:rPr>
          <w:lang w:val="ro-RO"/>
        </w:rPr>
        <w:t xml:space="preserve">În cazul în care venitul net din exploatare, actualizat, este negativ, deficitul de finanțare este </w:t>
      </w:r>
      <w:r w:rsidRPr="00D22030">
        <w:rPr>
          <w:lang w:val="ro-RO"/>
        </w:rPr>
        <w:t xml:space="preserve">100% (și ajutorul de stat este egal cu valoarea cheltuielilor </w:t>
      </w:r>
      <w:r w:rsidR="00547375" w:rsidRPr="00D22030">
        <w:rPr>
          <w:lang w:val="ro-RO"/>
        </w:rPr>
        <w:t xml:space="preserve">de investiție </w:t>
      </w:r>
      <w:r w:rsidRPr="00D22030">
        <w:rPr>
          <w:lang w:val="ro-RO"/>
        </w:rPr>
        <w:t>eligibile, sub rezerva plafonului).</w:t>
      </w:r>
      <w:r w:rsidR="00547375" w:rsidRPr="00D22030">
        <w:rPr>
          <w:lang w:val="ro-RO"/>
        </w:rPr>
        <w:t xml:space="preserve"> În acest caz, beneficiarul va explica pe deplin modalitatea în care sunt acoperite pierderile nete din operare, ținând cont de regulile de ajutor de stat.</w:t>
      </w:r>
    </w:p>
    <w:p w:rsidR="00BA5FBE" w:rsidRPr="00D22030" w:rsidRDefault="00BA5FBE" w:rsidP="00BA5FBE">
      <w:pPr>
        <w:jc w:val="both"/>
        <w:rPr>
          <w:lang w:val="ro-RO"/>
        </w:rPr>
      </w:pPr>
      <w:r w:rsidRPr="00D22030">
        <w:rPr>
          <w:lang w:val="ro-RO"/>
        </w:rPr>
        <w:t>În cazul în care venitul net din exploatare, actualizat, este mai mic decât costul de investiție, actualizat, dar pozitiv, rata deficitului de finanțare se calculează după cum urmează: rata = (costul de investiție actualizat minus venitul net din exploatare actualizat ) / costul de investiție actualizat).</w:t>
      </w:r>
    </w:p>
    <w:p w:rsidR="00193F63" w:rsidRPr="00D22030" w:rsidRDefault="00193F63" w:rsidP="00193F63">
      <w:pPr>
        <w:pStyle w:val="Heading1"/>
        <w:numPr>
          <w:ilvl w:val="0"/>
          <w:numId w:val="4"/>
        </w:numPr>
        <w:rPr>
          <w:lang w:val="ro-RO"/>
        </w:rPr>
      </w:pPr>
      <w:bookmarkStart w:id="3" w:name="_Toc42621818"/>
      <w:r w:rsidRPr="00D22030">
        <w:rPr>
          <w:lang w:val="ro-RO"/>
        </w:rPr>
        <w:t>Instrucțiuni de completare</w:t>
      </w:r>
      <w:bookmarkEnd w:id="3"/>
    </w:p>
    <w:p w:rsidR="00193F63" w:rsidRPr="00D22030" w:rsidRDefault="00193F63" w:rsidP="00B43815">
      <w:pPr>
        <w:jc w:val="both"/>
        <w:rPr>
          <w:lang w:val="ro-RO"/>
        </w:rPr>
      </w:pPr>
      <w:r w:rsidRPr="00D22030">
        <w:rPr>
          <w:lang w:val="ro-RO"/>
        </w:rPr>
        <w:t>Cadrul general: solicitantul va completa cu valorile specifice toate celulele marcate în roșu și doar aceste celule.</w:t>
      </w:r>
    </w:p>
    <w:p w:rsidR="00773D16" w:rsidRPr="00D22030" w:rsidRDefault="00193F63" w:rsidP="00B43815">
      <w:pPr>
        <w:jc w:val="both"/>
        <w:rPr>
          <w:lang w:val="ro-RO"/>
        </w:rPr>
      </w:pPr>
      <w:r w:rsidRPr="00D22030">
        <w:rPr>
          <w:lang w:val="ro-RO"/>
        </w:rPr>
        <w:t xml:space="preserve">Solicitantul va prezenta estimările </w:t>
      </w:r>
      <w:r w:rsidR="00773D16" w:rsidRPr="00D22030">
        <w:rPr>
          <w:lang w:val="ro-RO"/>
        </w:rPr>
        <w:t>în două situații (scenarii):</w:t>
      </w:r>
    </w:p>
    <w:p w:rsidR="00773D16" w:rsidRPr="00D22030" w:rsidRDefault="00773D16" w:rsidP="00773D16">
      <w:pPr>
        <w:pStyle w:val="ListParagraph"/>
        <w:numPr>
          <w:ilvl w:val="0"/>
          <w:numId w:val="7"/>
        </w:numPr>
        <w:jc w:val="both"/>
        <w:rPr>
          <w:lang w:val="ro-RO"/>
        </w:rPr>
      </w:pPr>
      <w:r w:rsidRPr="00D22030">
        <w:rPr>
          <w:lang w:val="ro-RO"/>
        </w:rPr>
        <w:t xml:space="preserve">situația fără proiect (business as </w:t>
      </w:r>
      <w:proofErr w:type="spellStart"/>
      <w:r w:rsidRPr="00D22030">
        <w:rPr>
          <w:lang w:val="ro-RO"/>
        </w:rPr>
        <w:t>usual</w:t>
      </w:r>
      <w:proofErr w:type="spellEnd"/>
      <w:r w:rsidRPr="00D22030">
        <w:rPr>
          <w:lang w:val="ro-RO"/>
        </w:rPr>
        <w:t>), în care nu există proiectul de investiții,</w:t>
      </w:r>
    </w:p>
    <w:p w:rsidR="00193F63" w:rsidRPr="00D22030" w:rsidRDefault="00773D16" w:rsidP="00773D16">
      <w:pPr>
        <w:pStyle w:val="ListParagraph"/>
        <w:numPr>
          <w:ilvl w:val="0"/>
          <w:numId w:val="7"/>
        </w:numPr>
        <w:jc w:val="both"/>
        <w:rPr>
          <w:lang w:val="ro-RO"/>
        </w:rPr>
      </w:pPr>
      <w:r w:rsidRPr="00D22030">
        <w:rPr>
          <w:lang w:val="ro-RO"/>
        </w:rPr>
        <w:t xml:space="preserve">situația cu proiect. </w:t>
      </w:r>
    </w:p>
    <w:p w:rsidR="00571040" w:rsidRPr="00D22030" w:rsidRDefault="00193F63" w:rsidP="00B43815">
      <w:pPr>
        <w:jc w:val="both"/>
        <w:rPr>
          <w:lang w:val="ro-RO"/>
        </w:rPr>
      </w:pPr>
      <w:r w:rsidRPr="00D22030">
        <w:rPr>
          <w:lang w:val="ro-RO"/>
        </w:rPr>
        <w:t>Durata de implementare a investiție și durata de viață a investiției</w:t>
      </w:r>
      <w:r w:rsidR="00773D16" w:rsidRPr="00D22030">
        <w:rPr>
          <w:lang w:val="ro-RO"/>
        </w:rPr>
        <w:t xml:space="preserve"> vor fi completate de solicitant și solicitantul va adapta anii indicați la rândul 31, astfel încât să </w:t>
      </w:r>
      <w:r w:rsidR="00FD4D41" w:rsidRPr="00D22030">
        <w:rPr>
          <w:lang w:val="ro-RO"/>
        </w:rPr>
        <w:t>corespundă cu perioada de implementare plus perioada de viață a investiției.</w:t>
      </w:r>
    </w:p>
    <w:p w:rsidR="00FD4D41" w:rsidRPr="00D22030" w:rsidRDefault="00FD4D41" w:rsidP="00B43815">
      <w:pPr>
        <w:jc w:val="both"/>
        <w:rPr>
          <w:lang w:val="ro-RO"/>
        </w:rPr>
      </w:pPr>
      <w:r w:rsidRPr="00D22030">
        <w:rPr>
          <w:lang w:val="ro-RO"/>
        </w:rPr>
        <w:t>Toate cheltuielile și veniturile vor fi exprimate în lei, fără TVA. De asemenea, analiza va fi realizată în termeni reali / prețuri constante, adică fără a lua în considerare efectul inflației.</w:t>
      </w:r>
    </w:p>
    <w:p w:rsidR="00547375" w:rsidRPr="00D22030" w:rsidRDefault="00FD4D41" w:rsidP="00547375">
      <w:pPr>
        <w:jc w:val="both"/>
        <w:rPr>
          <w:lang w:val="ro-RO"/>
        </w:rPr>
      </w:pPr>
      <w:r w:rsidRPr="00D22030">
        <w:rPr>
          <w:lang w:val="ro-RO"/>
        </w:rPr>
        <w:t>În cazul în care există un operator de termoficare având altă personalitate juridică decât solicitantul (UAT sau ADI), analiza se va face din punct de vedere al ansamblului ”solicitant plus operator de termoficare” excluzând eventualele transferuri financiare între cele două tipuri de entități (cum ar fi redevențe, subvenții, etc).</w:t>
      </w:r>
    </w:p>
    <w:p w:rsidR="00547375" w:rsidRDefault="00547375" w:rsidP="00547375">
      <w:pPr>
        <w:jc w:val="both"/>
        <w:rPr>
          <w:lang w:val="ro-RO"/>
        </w:rPr>
      </w:pPr>
      <w:r w:rsidRPr="00D22030">
        <w:rPr>
          <w:lang w:val="ro-RO"/>
        </w:rPr>
        <w:t xml:space="preserve">În acest sens, </w:t>
      </w:r>
      <w:r w:rsidR="00FD74BA" w:rsidRPr="00D22030">
        <w:rPr>
          <w:lang w:val="ro-RO"/>
        </w:rPr>
        <w:t>se va avea în vedere</w:t>
      </w:r>
      <w:r w:rsidRPr="00D22030">
        <w:rPr>
          <w:lang w:val="ro-RO"/>
        </w:rPr>
        <w:t xml:space="preserve"> că „</w:t>
      </w:r>
      <w:r w:rsidR="00FD74BA" w:rsidRPr="00D22030">
        <w:rPr>
          <w:lang w:val="ro-RO"/>
        </w:rPr>
        <w:t>transferurile</w:t>
      </w:r>
      <w:r w:rsidRPr="00D22030">
        <w:rPr>
          <w:lang w:val="ro-RO"/>
        </w:rPr>
        <w:t xml:space="preserve"> financiare” </w:t>
      </w:r>
      <w:r w:rsidR="00FD74BA" w:rsidRPr="00D22030">
        <w:rPr>
          <w:lang w:val="ro-RO"/>
        </w:rPr>
        <w:t>sub formă de subvenții pentru</w:t>
      </w:r>
      <w:r w:rsidRPr="00D22030">
        <w:rPr>
          <w:lang w:val="ro-RO"/>
        </w:rPr>
        <w:t xml:space="preserve"> operare</w:t>
      </w:r>
      <w:r w:rsidR="00FD74BA" w:rsidRPr="00D22030">
        <w:rPr>
          <w:lang w:val="ro-RO"/>
        </w:rPr>
        <w:t xml:space="preserve"> sunt supuse</w:t>
      </w:r>
      <w:r w:rsidRPr="00D22030">
        <w:rPr>
          <w:lang w:val="ro-RO"/>
        </w:rPr>
        <w:t xml:space="preserve"> normelor </w:t>
      </w:r>
      <w:r w:rsidR="00FD74BA" w:rsidRPr="00D22030">
        <w:rPr>
          <w:lang w:val="ro-RO"/>
        </w:rPr>
        <w:t>privind acordarea</w:t>
      </w:r>
      <w:r w:rsidRPr="00D22030">
        <w:rPr>
          <w:lang w:val="ro-RO"/>
        </w:rPr>
        <w:t xml:space="preserve"> ajuto</w:t>
      </w:r>
      <w:r w:rsidR="00FD74BA" w:rsidRPr="00D22030">
        <w:rPr>
          <w:lang w:val="ro-RO"/>
        </w:rPr>
        <w:t>arelor</w:t>
      </w:r>
      <w:r w:rsidRPr="00D22030">
        <w:rPr>
          <w:lang w:val="ro-RO"/>
        </w:rPr>
        <w:t xml:space="preserve"> de stat. În cazul în care există subvenții </w:t>
      </w:r>
      <w:r w:rsidR="00FD74BA" w:rsidRPr="00D22030">
        <w:rPr>
          <w:lang w:val="ro-RO"/>
        </w:rPr>
        <w:t>pentru operare</w:t>
      </w:r>
      <w:r w:rsidRPr="00D22030">
        <w:rPr>
          <w:lang w:val="ro-RO"/>
        </w:rPr>
        <w:t xml:space="preserve">, beneficiarul va </w:t>
      </w:r>
      <w:r w:rsidR="00AB7144">
        <w:rPr>
          <w:lang w:val="ro-RO"/>
        </w:rPr>
        <w:t>furniza</w:t>
      </w:r>
      <w:r w:rsidRPr="00D22030">
        <w:rPr>
          <w:lang w:val="ro-RO"/>
        </w:rPr>
        <w:t xml:space="preserve">, separat, toate justificările necesare și va calcula valoarea subvențiilor </w:t>
      </w:r>
      <w:r w:rsidR="00AB7144">
        <w:rPr>
          <w:lang w:val="ro-RO"/>
        </w:rPr>
        <w:t>pentru operare,</w:t>
      </w:r>
      <w:r w:rsidRPr="00D22030">
        <w:rPr>
          <w:lang w:val="ro-RO"/>
        </w:rPr>
        <w:t xml:space="preserve"> pentru fiecare an, atât în ​​situația </w:t>
      </w:r>
      <w:r w:rsidR="00FD74BA" w:rsidRPr="00D22030">
        <w:rPr>
          <w:lang w:val="ro-RO"/>
        </w:rPr>
        <w:t>cu proiect</w:t>
      </w:r>
      <w:r w:rsidRPr="00D22030">
        <w:rPr>
          <w:lang w:val="ro-RO"/>
        </w:rPr>
        <w:t>, cât și în situația fără proiect.</w:t>
      </w:r>
    </w:p>
    <w:p w:rsidR="00FD4D41" w:rsidRDefault="00FD4D41" w:rsidP="00B43815">
      <w:pPr>
        <w:jc w:val="both"/>
        <w:rPr>
          <w:lang w:val="ro-RO"/>
        </w:rPr>
      </w:pPr>
      <w:r>
        <w:rPr>
          <w:lang w:val="ro-RO"/>
        </w:rPr>
        <w:t>Cheltuielile de investiție, în situația cu proiect, vor fi defalcate pentru fiecare an de implementare a investiției. Aceste cheltuieli vor reprezenta cheltuielile totale, fără TVA, indiferent de natura eligibilă sau nu a cheltuielilor.</w:t>
      </w:r>
      <w:r w:rsidR="00BA5FBE">
        <w:rPr>
          <w:lang w:val="ro-RO"/>
        </w:rPr>
        <w:t xml:space="preserve"> Nu se vor lua în considerare cheltuielile </w:t>
      </w:r>
      <w:r w:rsidR="00B2492D">
        <w:rPr>
          <w:lang w:val="ro-RO"/>
        </w:rPr>
        <w:t>strict financiare (cum ar fi rambursarea unui împrumut de finanțare a investiției).</w:t>
      </w:r>
    </w:p>
    <w:p w:rsidR="00FD4D41" w:rsidRDefault="00FD4D41" w:rsidP="00B43815">
      <w:pPr>
        <w:jc w:val="both"/>
        <w:rPr>
          <w:lang w:val="ro-RO"/>
        </w:rPr>
      </w:pPr>
      <w:r>
        <w:rPr>
          <w:lang w:val="ro-RO"/>
        </w:rPr>
        <w:t xml:space="preserve">Cheltuielile de exploatare și întreținere vor reprezenta </w:t>
      </w:r>
      <w:r w:rsidR="00BA5FBE">
        <w:rPr>
          <w:lang w:val="ro-RO"/>
        </w:rPr>
        <w:t>toate cheltuielile aferente exploatării și întreținere, inclusiv dar nu limitat la: materiale, personal, reparații, contracte cu terți, etc.</w:t>
      </w:r>
    </w:p>
    <w:p w:rsidR="00BA5FBE" w:rsidRDefault="00BA5FBE" w:rsidP="00B43815">
      <w:pPr>
        <w:jc w:val="both"/>
        <w:rPr>
          <w:lang w:val="ro-RO"/>
        </w:rPr>
      </w:pPr>
      <w:r>
        <w:rPr>
          <w:lang w:val="ro-RO"/>
        </w:rPr>
        <w:lastRenderedPageBreak/>
        <w:t xml:space="preserve">Veniturile vor fi în principal veniturile colectate de la utilizatori / clienți, fără a lua în considerare </w:t>
      </w:r>
      <w:r w:rsidR="00B2492D">
        <w:rPr>
          <w:lang w:val="ro-RO"/>
        </w:rPr>
        <w:t>eventualele subvenții din partea UAT sau ADI către operator.</w:t>
      </w:r>
    </w:p>
    <w:p w:rsidR="00B43815" w:rsidRPr="00FE5918" w:rsidRDefault="00BA5FBE" w:rsidP="00B2492D">
      <w:pPr>
        <w:jc w:val="both"/>
        <w:rPr>
          <w:lang w:val="ro-RO"/>
        </w:rPr>
      </w:pPr>
      <w:r>
        <w:rPr>
          <w:lang w:val="ro-RO"/>
        </w:rPr>
        <w:t xml:space="preserve">Toate estimările (cheltuieli și venituri, atât în situația fără proiect cât și în situația cu proiect) vor fi </w:t>
      </w:r>
      <w:r w:rsidR="00B2492D">
        <w:rPr>
          <w:lang w:val="ro-RO"/>
        </w:rPr>
        <w:t xml:space="preserve">pe deplin </w:t>
      </w:r>
      <w:r>
        <w:rPr>
          <w:lang w:val="ro-RO"/>
        </w:rPr>
        <w:t>fundamente</w:t>
      </w:r>
      <w:r w:rsidR="00B2492D">
        <w:rPr>
          <w:lang w:val="ro-RO"/>
        </w:rPr>
        <w:t>, justificate</w:t>
      </w:r>
      <w:r>
        <w:rPr>
          <w:lang w:val="ro-RO"/>
        </w:rPr>
        <w:t xml:space="preserve"> și explicate în studiul de fezabilitate / analiza cost-beneficiu.</w:t>
      </w:r>
    </w:p>
    <w:p w:rsidR="00B2492D" w:rsidRPr="003512AC" w:rsidRDefault="00B2492D" w:rsidP="003512AC">
      <w:pPr>
        <w:spacing w:after="0" w:line="240" w:lineRule="auto"/>
        <w:jc w:val="both"/>
        <w:rPr>
          <w:lang w:val="ro-RO"/>
        </w:rPr>
      </w:pPr>
    </w:p>
    <w:sectPr w:rsidR="00B2492D" w:rsidRPr="003512AC" w:rsidSect="005753A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555" w:rsidRDefault="00224555" w:rsidP="00E6624B">
      <w:pPr>
        <w:spacing w:after="0" w:line="240" w:lineRule="auto"/>
      </w:pPr>
      <w:r>
        <w:separator/>
      </w:r>
    </w:p>
  </w:endnote>
  <w:endnote w:type="continuationSeparator" w:id="0">
    <w:p w:rsidR="00224555" w:rsidRDefault="00224555" w:rsidP="00E66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655" w:rsidRDefault="006606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655" w:rsidRDefault="006606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655" w:rsidRDefault="006606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555" w:rsidRDefault="00224555" w:rsidP="00E6624B">
      <w:pPr>
        <w:spacing w:after="0" w:line="240" w:lineRule="auto"/>
      </w:pPr>
      <w:r>
        <w:separator/>
      </w:r>
    </w:p>
  </w:footnote>
  <w:footnote w:type="continuationSeparator" w:id="0">
    <w:p w:rsidR="00224555" w:rsidRDefault="00224555" w:rsidP="00E66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655" w:rsidRDefault="006606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B13" w:rsidRDefault="00BA3CCB" w:rsidP="000D4B13">
    <w:pPr>
      <w:pStyle w:val="Header"/>
      <w:tabs>
        <w:tab w:val="clear" w:pos="4513"/>
        <w:tab w:val="clear" w:pos="9026"/>
        <w:tab w:val="left" w:pos="1020"/>
      </w:tabs>
    </w:pPr>
    <w:r>
      <w:rPr>
        <w:lang w:val="ro-RO"/>
      </w:rPr>
      <w:t xml:space="preserve">Anexa 2. </w:t>
    </w:r>
    <w:r w:rsidR="00660655">
      <w:rPr>
        <w:lang w:val="ro-RO"/>
      </w:rPr>
      <w:t xml:space="preserve">Indicații cu privire la </w:t>
    </w:r>
    <w:r w:rsidR="00660655">
      <w:rPr>
        <w:lang w:val="ro-RO"/>
      </w:rPr>
      <w:t>m</w:t>
    </w:r>
    <w:bookmarkStart w:id="0" w:name="_GoBack"/>
    <w:bookmarkEnd w:id="0"/>
    <w:r w:rsidR="00B57FD4">
      <w:rPr>
        <w:lang w:val="ro-RO"/>
      </w:rPr>
      <w:t>etoda</w:t>
    </w:r>
    <w:r w:rsidR="00CD20CF">
      <w:rPr>
        <w:lang w:val="ro-RO"/>
      </w:rPr>
      <w:t xml:space="preserve"> de calcul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655" w:rsidRDefault="006606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00A0"/>
    <w:multiLevelType w:val="hybridMultilevel"/>
    <w:tmpl w:val="20C46B18"/>
    <w:lvl w:ilvl="0" w:tplc="7D9E725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8D614A"/>
    <w:multiLevelType w:val="hybridMultilevel"/>
    <w:tmpl w:val="181AED08"/>
    <w:lvl w:ilvl="0" w:tplc="6C3EF76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2E43AE"/>
    <w:multiLevelType w:val="hybridMultilevel"/>
    <w:tmpl w:val="8CD8E0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5846CC"/>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F350F80"/>
    <w:multiLevelType w:val="hybridMultilevel"/>
    <w:tmpl w:val="9AF425CE"/>
    <w:lvl w:ilvl="0" w:tplc="067AC7C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0945AC4"/>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A0A437F"/>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B083B1E"/>
    <w:multiLevelType w:val="hybridMultilevel"/>
    <w:tmpl w:val="3C4CAB3E"/>
    <w:lvl w:ilvl="0" w:tplc="DABAA0E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FD"/>
    <w:rsid w:val="00041E95"/>
    <w:rsid w:val="0004688C"/>
    <w:rsid w:val="00054B28"/>
    <w:rsid w:val="00082F7C"/>
    <w:rsid w:val="000835D1"/>
    <w:rsid w:val="00091F46"/>
    <w:rsid w:val="00097FA2"/>
    <w:rsid w:val="000D4B13"/>
    <w:rsid w:val="000D5CC4"/>
    <w:rsid w:val="000E3B8A"/>
    <w:rsid w:val="000E5FA7"/>
    <w:rsid w:val="00100A38"/>
    <w:rsid w:val="00114C9D"/>
    <w:rsid w:val="00120214"/>
    <w:rsid w:val="00124F81"/>
    <w:rsid w:val="00152146"/>
    <w:rsid w:val="00152420"/>
    <w:rsid w:val="001617F9"/>
    <w:rsid w:val="00193655"/>
    <w:rsid w:val="00193F63"/>
    <w:rsid w:val="001D0E57"/>
    <w:rsid w:val="001E7055"/>
    <w:rsid w:val="00200320"/>
    <w:rsid w:val="00203AB9"/>
    <w:rsid w:val="00224555"/>
    <w:rsid w:val="00241D3C"/>
    <w:rsid w:val="00245523"/>
    <w:rsid w:val="002A71F0"/>
    <w:rsid w:val="00335408"/>
    <w:rsid w:val="003363C2"/>
    <w:rsid w:val="003512AC"/>
    <w:rsid w:val="00363BBD"/>
    <w:rsid w:val="0039100D"/>
    <w:rsid w:val="003956B1"/>
    <w:rsid w:val="003C0ADD"/>
    <w:rsid w:val="003E2465"/>
    <w:rsid w:val="003E408F"/>
    <w:rsid w:val="004233FE"/>
    <w:rsid w:val="0045709D"/>
    <w:rsid w:val="0046358F"/>
    <w:rsid w:val="004A6231"/>
    <w:rsid w:val="004C70D7"/>
    <w:rsid w:val="00500A91"/>
    <w:rsid w:val="00547375"/>
    <w:rsid w:val="00571040"/>
    <w:rsid w:val="005753A1"/>
    <w:rsid w:val="005933FF"/>
    <w:rsid w:val="00593B0A"/>
    <w:rsid w:val="005951CB"/>
    <w:rsid w:val="005A4B6C"/>
    <w:rsid w:val="005C0E93"/>
    <w:rsid w:val="005F2CD3"/>
    <w:rsid w:val="00641788"/>
    <w:rsid w:val="00652068"/>
    <w:rsid w:val="00652275"/>
    <w:rsid w:val="00660655"/>
    <w:rsid w:val="00667A82"/>
    <w:rsid w:val="00693A4C"/>
    <w:rsid w:val="006B49F3"/>
    <w:rsid w:val="00724302"/>
    <w:rsid w:val="0075347D"/>
    <w:rsid w:val="00772DC5"/>
    <w:rsid w:val="00773D16"/>
    <w:rsid w:val="007B6144"/>
    <w:rsid w:val="007F0740"/>
    <w:rsid w:val="007F33EF"/>
    <w:rsid w:val="008107CF"/>
    <w:rsid w:val="00817918"/>
    <w:rsid w:val="00853A29"/>
    <w:rsid w:val="00886CF2"/>
    <w:rsid w:val="008F3B09"/>
    <w:rsid w:val="00906084"/>
    <w:rsid w:val="00984F72"/>
    <w:rsid w:val="009C0B5D"/>
    <w:rsid w:val="00A05666"/>
    <w:rsid w:val="00A05701"/>
    <w:rsid w:val="00A32218"/>
    <w:rsid w:val="00A7499E"/>
    <w:rsid w:val="00A9382D"/>
    <w:rsid w:val="00AB7144"/>
    <w:rsid w:val="00AD1A6E"/>
    <w:rsid w:val="00AD23E0"/>
    <w:rsid w:val="00AF48DB"/>
    <w:rsid w:val="00B2492D"/>
    <w:rsid w:val="00B43815"/>
    <w:rsid w:val="00B57FD4"/>
    <w:rsid w:val="00B8148D"/>
    <w:rsid w:val="00B837B7"/>
    <w:rsid w:val="00B95B05"/>
    <w:rsid w:val="00BA3CCB"/>
    <w:rsid w:val="00BA5FBE"/>
    <w:rsid w:val="00BD2057"/>
    <w:rsid w:val="00C35AB3"/>
    <w:rsid w:val="00C63631"/>
    <w:rsid w:val="00C71B3F"/>
    <w:rsid w:val="00C86ADD"/>
    <w:rsid w:val="00C97B72"/>
    <w:rsid w:val="00CD20CF"/>
    <w:rsid w:val="00CF15CB"/>
    <w:rsid w:val="00D10439"/>
    <w:rsid w:val="00D22030"/>
    <w:rsid w:val="00D43A8C"/>
    <w:rsid w:val="00D6318D"/>
    <w:rsid w:val="00D77BB1"/>
    <w:rsid w:val="00DA77ED"/>
    <w:rsid w:val="00DC1CE5"/>
    <w:rsid w:val="00DD580A"/>
    <w:rsid w:val="00DE17E5"/>
    <w:rsid w:val="00E01E34"/>
    <w:rsid w:val="00E050DF"/>
    <w:rsid w:val="00E24691"/>
    <w:rsid w:val="00E264E5"/>
    <w:rsid w:val="00E3116E"/>
    <w:rsid w:val="00E64A7B"/>
    <w:rsid w:val="00E6624B"/>
    <w:rsid w:val="00E74D04"/>
    <w:rsid w:val="00E958ED"/>
    <w:rsid w:val="00ED5893"/>
    <w:rsid w:val="00EF03A3"/>
    <w:rsid w:val="00F14BFD"/>
    <w:rsid w:val="00F77A29"/>
    <w:rsid w:val="00F95770"/>
    <w:rsid w:val="00FB32B4"/>
    <w:rsid w:val="00FC71CA"/>
    <w:rsid w:val="00FD4D41"/>
    <w:rsid w:val="00FD74BA"/>
    <w:rsid w:val="00FE5918"/>
    <w:rsid w:val="00FF4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60418E-8A7A-42B7-9F5E-6977C1FF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791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791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523"/>
    <w:pPr>
      <w:ind w:left="720"/>
      <w:contextualSpacing/>
    </w:pPr>
  </w:style>
  <w:style w:type="paragraph" w:styleId="FootnoteText">
    <w:name w:val="footnote text"/>
    <w:basedOn w:val="Normal"/>
    <w:link w:val="FootnoteTextChar"/>
    <w:uiPriority w:val="99"/>
    <w:semiHidden/>
    <w:unhideWhenUsed/>
    <w:rsid w:val="00E662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624B"/>
    <w:rPr>
      <w:sz w:val="20"/>
      <w:szCs w:val="20"/>
    </w:rPr>
  </w:style>
  <w:style w:type="character" w:styleId="FootnoteReference">
    <w:name w:val="footnote reference"/>
    <w:basedOn w:val="DefaultParagraphFont"/>
    <w:uiPriority w:val="99"/>
    <w:semiHidden/>
    <w:unhideWhenUsed/>
    <w:rsid w:val="00E6624B"/>
    <w:rPr>
      <w:vertAlign w:val="superscript"/>
    </w:rPr>
  </w:style>
  <w:style w:type="character" w:customStyle="1" w:styleId="Heading1Char">
    <w:name w:val="Heading 1 Char"/>
    <w:basedOn w:val="DefaultParagraphFont"/>
    <w:link w:val="Heading1"/>
    <w:uiPriority w:val="9"/>
    <w:rsid w:val="00817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17918"/>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A32218"/>
    <w:pPr>
      <w:outlineLvl w:val="9"/>
    </w:pPr>
    <w:rPr>
      <w:lang w:val="en-US"/>
    </w:rPr>
  </w:style>
  <w:style w:type="paragraph" w:styleId="TOC1">
    <w:name w:val="toc 1"/>
    <w:basedOn w:val="Normal"/>
    <w:next w:val="Normal"/>
    <w:autoRedefine/>
    <w:uiPriority w:val="39"/>
    <w:unhideWhenUsed/>
    <w:rsid w:val="00A32218"/>
    <w:pPr>
      <w:spacing w:after="100"/>
    </w:pPr>
  </w:style>
  <w:style w:type="paragraph" w:styleId="TOC2">
    <w:name w:val="toc 2"/>
    <w:basedOn w:val="Normal"/>
    <w:next w:val="Normal"/>
    <w:autoRedefine/>
    <w:uiPriority w:val="39"/>
    <w:unhideWhenUsed/>
    <w:rsid w:val="00A32218"/>
    <w:pPr>
      <w:spacing w:after="100"/>
      <w:ind w:left="220"/>
    </w:pPr>
  </w:style>
  <w:style w:type="character" w:styleId="Hyperlink">
    <w:name w:val="Hyperlink"/>
    <w:basedOn w:val="DefaultParagraphFont"/>
    <w:uiPriority w:val="99"/>
    <w:unhideWhenUsed/>
    <w:rsid w:val="00A32218"/>
    <w:rPr>
      <w:color w:val="0000FF" w:themeColor="hyperlink"/>
      <w:u w:val="single"/>
    </w:rPr>
  </w:style>
  <w:style w:type="paragraph" w:styleId="Title">
    <w:name w:val="Title"/>
    <w:basedOn w:val="Normal"/>
    <w:next w:val="Normal"/>
    <w:link w:val="TitleChar"/>
    <w:uiPriority w:val="10"/>
    <w:qFormat/>
    <w:rsid w:val="00A322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21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354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5408"/>
  </w:style>
  <w:style w:type="paragraph" w:styleId="Footer">
    <w:name w:val="footer"/>
    <w:basedOn w:val="Normal"/>
    <w:link w:val="FooterChar"/>
    <w:uiPriority w:val="99"/>
    <w:unhideWhenUsed/>
    <w:rsid w:val="003354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5408"/>
  </w:style>
  <w:style w:type="paragraph" w:customStyle="1" w:styleId="Default">
    <w:name w:val="Default"/>
    <w:rsid w:val="00571040"/>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00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C8C2E-86D7-477F-9D59-9457DDEA5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1020</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mariana simbrian</cp:lastModifiedBy>
  <cp:revision>17</cp:revision>
  <dcterms:created xsi:type="dcterms:W3CDTF">2020-06-10T06:56:00Z</dcterms:created>
  <dcterms:modified xsi:type="dcterms:W3CDTF">2020-11-11T11:46:00Z</dcterms:modified>
</cp:coreProperties>
</file>